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农业农村部南京农业机械化研究所2020年</w:t>
      </w:r>
    </w:p>
    <w:p>
      <w:pPr>
        <w:spacing w:line="600" w:lineRule="exact"/>
        <w:jc w:val="center"/>
        <w:rPr>
          <w:rFonts w:ascii="方正小标宋简体" w:hAnsi="华文中宋" w:eastAsia="方正小标宋简体"/>
          <w:sz w:val="40"/>
          <w:szCs w:val="40"/>
        </w:rPr>
      </w:pPr>
      <w:r>
        <w:rPr>
          <w:rFonts w:hint="eastAsia" w:ascii="方正小标宋简体" w:hAnsi="华文中宋" w:eastAsia="方正小标宋简体"/>
          <w:sz w:val="40"/>
          <w:szCs w:val="40"/>
        </w:rPr>
        <w:t>科技创新团队绩效考核办法</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一、目标原则</w:t>
      </w:r>
    </w:p>
    <w:p>
      <w:pPr>
        <w:spacing w:line="520" w:lineRule="exact"/>
        <w:ind w:firstLine="555"/>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为客观、全面评价科技创新团队工作绩效，激发创新活力，促进所科技事业发展，结合所实际情况，特制定本办法。</w:t>
      </w:r>
    </w:p>
    <w:p>
      <w:pPr>
        <w:spacing w:line="520" w:lineRule="exact"/>
        <w:ind w:firstLine="555"/>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b/>
          <w:sz w:val="32"/>
          <w:szCs w:val="32"/>
        </w:rPr>
        <w:t xml:space="preserve">  </w:t>
      </w:r>
      <w:r>
        <w:rPr>
          <w:rFonts w:hint="eastAsia" w:ascii="仿宋" w:hAnsi="仿宋" w:eastAsia="仿宋"/>
          <w:sz w:val="32"/>
          <w:szCs w:val="32"/>
        </w:rPr>
        <w:t>本办法中的科技创新团队（以下简称“团队”）指入选中国农业科学院科技创新工程的科技创新团队。</w:t>
      </w:r>
    </w:p>
    <w:p>
      <w:pPr>
        <w:spacing w:line="520" w:lineRule="exact"/>
        <w:ind w:firstLine="555"/>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b/>
          <w:sz w:val="32"/>
          <w:szCs w:val="32"/>
        </w:rPr>
        <w:t xml:space="preserve">  </w:t>
      </w:r>
      <w:r>
        <w:rPr>
          <w:rFonts w:hint="eastAsia" w:ascii="仿宋" w:hAnsi="仿宋" w:eastAsia="仿宋"/>
          <w:sz w:val="32"/>
          <w:szCs w:val="32"/>
        </w:rPr>
        <w:t>创新团队绩效考核坚持与中国农业科学院评价体系统一衔接、科研成果产出导向、目标考核与发展激励结合等原则。</w:t>
      </w:r>
    </w:p>
    <w:p>
      <w:pPr>
        <w:spacing w:line="520" w:lineRule="exact"/>
        <w:ind w:firstLine="555"/>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以团队为单位进行科研绩效考核，以自然年度为考核时限，即公历当年1月1日至12月31日。</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二、绩效目标确定</w:t>
      </w:r>
    </w:p>
    <w:p>
      <w:pPr>
        <w:spacing w:line="520" w:lineRule="exact"/>
        <w:ind w:firstLine="640" w:firstLineChars="200"/>
        <w:rPr>
          <w:rFonts w:ascii="仿宋" w:hAnsi="仿宋" w:eastAsia="仿宋"/>
          <w:sz w:val="28"/>
          <w:szCs w:val="28"/>
        </w:rPr>
      </w:pPr>
      <w:r>
        <w:rPr>
          <w:rFonts w:hint="eastAsia" w:ascii="黑体" w:hAnsi="黑体" w:eastAsia="黑体"/>
          <w:sz w:val="32"/>
          <w:szCs w:val="32"/>
        </w:rPr>
        <w:t>第五条</w:t>
      </w:r>
      <w:r>
        <w:rPr>
          <w:rFonts w:hint="eastAsia" w:ascii="仿宋" w:hAnsi="仿宋" w:eastAsia="仿宋"/>
          <w:sz w:val="28"/>
          <w:szCs w:val="28"/>
        </w:rPr>
        <w:t xml:space="preserve">  </w:t>
      </w:r>
      <w:r>
        <w:rPr>
          <w:rFonts w:hint="eastAsia" w:ascii="仿宋" w:hAnsi="仿宋" w:eastAsia="仿宋"/>
          <w:sz w:val="32"/>
          <w:szCs w:val="32"/>
        </w:rPr>
        <w:t>全所科研目标得分按照上一年度递增10%标准测算。各团队目标考核分按照团队上年度获得的国家、部、省、院等财政经费支持科研经费项目（不含“四技”等横向项目）占60%、团队人员数占40%权重测算确定。团队成员为管理部门人员，人员数量按50%打折，团队首席按1人核算。</w:t>
      </w:r>
    </w:p>
    <w:p>
      <w:pPr>
        <w:spacing w:line="520" w:lineRule="exact"/>
        <w:ind w:firstLine="555"/>
        <w:rPr>
          <w:rFonts w:ascii="仿宋" w:hAnsi="仿宋" w:eastAsia="仿宋"/>
          <w:sz w:val="28"/>
          <w:szCs w:val="28"/>
        </w:rPr>
      </w:pPr>
      <w:r>
        <w:rPr>
          <w:rFonts w:hint="eastAsia" w:ascii="黑体" w:hAnsi="黑体" w:eastAsia="黑体"/>
          <w:sz w:val="32"/>
          <w:szCs w:val="32"/>
        </w:rPr>
        <w:t>第六条</w:t>
      </w:r>
      <w:r>
        <w:rPr>
          <w:rFonts w:hint="eastAsia" w:ascii="仿宋" w:hAnsi="仿宋" w:eastAsia="仿宋"/>
          <w:sz w:val="28"/>
          <w:szCs w:val="28"/>
        </w:rPr>
        <w:t xml:space="preserve">  </w:t>
      </w:r>
      <w:r>
        <w:rPr>
          <w:rFonts w:hint="eastAsia" w:ascii="仿宋" w:hAnsi="仿宋" w:eastAsia="仿宋"/>
          <w:sz w:val="32"/>
          <w:szCs w:val="32"/>
        </w:rPr>
        <w:t>计划财务处和综合管理处分别提供各团队上一年度投入经费数和团队人员数，科技管理处以此为依据，测算团队当年目标得分，并通知各团队，年底按上述原则据实核算。</w:t>
      </w:r>
    </w:p>
    <w:p>
      <w:pPr>
        <w:spacing w:beforeLines="50" w:afterLines="50" w:line="520" w:lineRule="exact"/>
        <w:jc w:val="center"/>
        <w:rPr>
          <w:rFonts w:ascii="黑体" w:hAnsi="黑体" w:eastAsia="黑体"/>
          <w:color w:val="FF0000"/>
          <w:sz w:val="32"/>
          <w:szCs w:val="32"/>
        </w:rPr>
      </w:pPr>
      <w:r>
        <w:rPr>
          <w:rFonts w:hint="eastAsia" w:ascii="黑体" w:hAnsi="黑体" w:eastAsia="黑体"/>
          <w:sz w:val="32"/>
          <w:szCs w:val="32"/>
        </w:rPr>
        <w:t>三、绩效得分计分方法</w:t>
      </w:r>
    </w:p>
    <w:p>
      <w:pPr>
        <w:spacing w:line="520" w:lineRule="exact"/>
        <w:ind w:firstLine="555"/>
        <w:rPr>
          <w:rFonts w:ascii="仿宋" w:hAnsi="仿宋" w:eastAsia="仿宋"/>
          <w:b/>
          <w:sz w:val="32"/>
          <w:szCs w:val="32"/>
        </w:rPr>
      </w:pPr>
      <w:r>
        <w:rPr>
          <w:rFonts w:hint="eastAsia" w:ascii="黑体" w:hAnsi="黑体" w:eastAsia="黑体"/>
          <w:sz w:val="32"/>
          <w:szCs w:val="32"/>
        </w:rPr>
        <w:t>第七条</w:t>
      </w:r>
      <w:r>
        <w:rPr>
          <w:rFonts w:hint="eastAsia" w:ascii="仿宋" w:hAnsi="仿宋" w:eastAsia="仿宋"/>
          <w:b/>
          <w:sz w:val="32"/>
          <w:szCs w:val="32"/>
        </w:rPr>
        <w:t xml:space="preserve">  </w:t>
      </w:r>
      <w:r>
        <w:rPr>
          <w:rFonts w:hint="eastAsia" w:ascii="仿宋" w:hAnsi="仿宋" w:eastAsia="仿宋"/>
          <w:sz w:val="32"/>
          <w:szCs w:val="32"/>
        </w:rPr>
        <w:t>团队绩效得分核算方法为：</w:t>
      </w:r>
    </w:p>
    <w:p>
      <w:pPr>
        <w:spacing w:line="520" w:lineRule="exact"/>
        <w:ind w:firstLine="555"/>
        <w:rPr>
          <w:rFonts w:ascii="仿宋" w:hAnsi="仿宋" w:eastAsia="仿宋"/>
          <w:sz w:val="32"/>
          <w:szCs w:val="32"/>
        </w:rPr>
      </w:pPr>
      <w:r>
        <w:rPr>
          <w:rFonts w:hint="eastAsia" w:ascii="仿宋" w:hAnsi="仿宋" w:eastAsia="仿宋"/>
          <w:sz w:val="32"/>
          <w:szCs w:val="32"/>
        </w:rPr>
        <w:t>绩效得分＝基础得分×（1＋目标激励系数＋发展激励系数）</w:t>
      </w:r>
    </w:p>
    <w:p>
      <w:pPr>
        <w:spacing w:line="520" w:lineRule="exact"/>
        <w:ind w:firstLine="555"/>
        <w:rPr>
          <w:rFonts w:ascii="仿宋" w:hAnsi="仿宋" w:eastAsia="仿宋"/>
          <w:sz w:val="32"/>
          <w:szCs w:val="32"/>
        </w:rPr>
      </w:pPr>
      <w:r>
        <w:rPr>
          <w:rFonts w:hint="eastAsia" w:ascii="仿宋" w:hAnsi="仿宋" w:eastAsia="仿宋"/>
          <w:sz w:val="32"/>
          <w:szCs w:val="32"/>
        </w:rPr>
        <w:t>其中：</w:t>
      </w:r>
    </w:p>
    <w:p>
      <w:pPr>
        <w:spacing w:line="520" w:lineRule="exact"/>
        <w:ind w:firstLine="555"/>
        <w:rPr>
          <w:rFonts w:ascii="仿宋" w:hAnsi="仿宋" w:eastAsia="仿宋"/>
          <w:sz w:val="32"/>
          <w:szCs w:val="32"/>
        </w:rPr>
      </w:pPr>
      <w:r>
        <w:rPr>
          <w:rFonts w:hint="eastAsia" w:ascii="仿宋" w:hAnsi="仿宋" w:eastAsia="仿宋"/>
          <w:sz w:val="32"/>
          <w:szCs w:val="32"/>
        </w:rPr>
        <w:t>（一）绩效得分为团队最终绩效发放依据，基础得分根据计分标准确定；</w:t>
      </w:r>
    </w:p>
    <w:p>
      <w:pPr>
        <w:spacing w:line="520" w:lineRule="exact"/>
        <w:ind w:firstLine="555"/>
        <w:rPr>
          <w:rFonts w:ascii="仿宋" w:hAnsi="仿宋" w:eastAsia="仿宋"/>
          <w:sz w:val="32"/>
          <w:szCs w:val="32"/>
        </w:rPr>
      </w:pPr>
      <w:r>
        <w:rPr>
          <w:rFonts w:hint="eastAsia" w:ascii="仿宋" w:hAnsi="仿宋" w:eastAsia="仿宋"/>
          <w:sz w:val="32"/>
          <w:szCs w:val="32"/>
        </w:rPr>
        <w:t>（二）目标激励系数＝[（当年基础得分/当年目标考核分）－1]×0.2；该系数为负值时按照零计算。当年目标考核分由研究所根据发展目标，每年年初确定；</w:t>
      </w:r>
    </w:p>
    <w:p>
      <w:pPr>
        <w:spacing w:line="520" w:lineRule="exact"/>
        <w:ind w:firstLine="555"/>
        <w:rPr>
          <w:rFonts w:ascii="仿宋" w:hAnsi="仿宋" w:eastAsia="仿宋"/>
          <w:sz w:val="32"/>
          <w:szCs w:val="32"/>
        </w:rPr>
      </w:pPr>
      <w:r>
        <w:rPr>
          <w:rFonts w:hint="eastAsia" w:ascii="仿宋" w:hAnsi="仿宋" w:eastAsia="仿宋"/>
          <w:sz w:val="32"/>
          <w:szCs w:val="32"/>
        </w:rPr>
        <w:t>（三）发展激励系数＝[（当年基础得分/上年基础得分）－1]×0.1；该系数为负值时按照零计算。</w:t>
      </w:r>
    </w:p>
    <w:p>
      <w:pPr>
        <w:spacing w:beforeLines="50" w:afterLines="50" w:line="520" w:lineRule="exact"/>
        <w:jc w:val="center"/>
        <w:rPr>
          <w:rFonts w:ascii="黑体" w:hAnsi="黑体" w:eastAsia="黑体"/>
          <w:sz w:val="32"/>
          <w:szCs w:val="32"/>
        </w:rPr>
      </w:pPr>
      <w:r>
        <w:rPr>
          <w:rFonts w:hint="eastAsia" w:ascii="黑体" w:hAnsi="黑体" w:eastAsia="黑体"/>
          <w:sz w:val="32"/>
          <w:szCs w:val="32"/>
        </w:rPr>
        <w:t>四、绩效考核程序</w:t>
      </w:r>
    </w:p>
    <w:p>
      <w:pPr>
        <w:spacing w:line="520" w:lineRule="exact"/>
        <w:ind w:firstLine="555"/>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b/>
          <w:sz w:val="32"/>
          <w:szCs w:val="32"/>
        </w:rPr>
        <w:t xml:space="preserve">  </w:t>
      </w:r>
      <w:r>
        <w:rPr>
          <w:rFonts w:hint="eastAsia" w:ascii="仿宋" w:hAnsi="仿宋" w:eastAsia="仿宋"/>
          <w:sz w:val="32"/>
          <w:szCs w:val="32"/>
        </w:rPr>
        <w:t>团队绩效考核按以下程序执行：</w:t>
      </w:r>
    </w:p>
    <w:p>
      <w:pPr>
        <w:spacing w:line="520" w:lineRule="exact"/>
        <w:ind w:firstLine="555"/>
        <w:rPr>
          <w:rFonts w:ascii="仿宋" w:hAnsi="仿宋" w:eastAsia="仿宋"/>
          <w:sz w:val="32"/>
          <w:szCs w:val="32"/>
        </w:rPr>
      </w:pPr>
      <w:r>
        <w:rPr>
          <w:rFonts w:hint="eastAsia" w:ascii="仿宋" w:hAnsi="仿宋" w:eastAsia="仿宋"/>
          <w:sz w:val="32"/>
          <w:szCs w:val="32"/>
        </w:rPr>
        <w:t>（一）团队统计填写年度基础得分统计表，并提供证明材料；</w:t>
      </w:r>
    </w:p>
    <w:p>
      <w:pPr>
        <w:spacing w:line="520" w:lineRule="exact"/>
        <w:ind w:firstLine="555"/>
        <w:rPr>
          <w:rFonts w:ascii="仿宋" w:hAnsi="仿宋" w:eastAsia="仿宋"/>
          <w:sz w:val="32"/>
          <w:szCs w:val="32"/>
        </w:rPr>
      </w:pPr>
      <w:r>
        <w:rPr>
          <w:rFonts w:hint="eastAsia" w:ascii="仿宋" w:hAnsi="仿宋" w:eastAsia="仿宋"/>
          <w:sz w:val="32"/>
          <w:szCs w:val="32"/>
        </w:rPr>
        <w:t>（二）相关职能部门审核；</w:t>
      </w:r>
    </w:p>
    <w:p>
      <w:pPr>
        <w:spacing w:line="520" w:lineRule="exact"/>
        <w:ind w:firstLine="555"/>
        <w:rPr>
          <w:rFonts w:ascii="仿宋" w:hAnsi="仿宋" w:eastAsia="仿宋"/>
          <w:sz w:val="32"/>
          <w:szCs w:val="32"/>
        </w:rPr>
      </w:pPr>
      <w:r>
        <w:rPr>
          <w:rFonts w:hint="eastAsia" w:ascii="仿宋" w:hAnsi="仿宋" w:eastAsia="仿宋"/>
          <w:sz w:val="32"/>
          <w:szCs w:val="32"/>
        </w:rPr>
        <w:t>（三）科技管理处汇总考核结果，并经各团队首席确认；</w:t>
      </w:r>
    </w:p>
    <w:p>
      <w:pPr>
        <w:spacing w:line="520" w:lineRule="exact"/>
        <w:ind w:firstLine="555"/>
        <w:rPr>
          <w:rFonts w:ascii="仿宋" w:hAnsi="仿宋" w:eastAsia="仿宋"/>
          <w:sz w:val="32"/>
          <w:szCs w:val="32"/>
        </w:rPr>
      </w:pPr>
      <w:r>
        <w:rPr>
          <w:rFonts w:hint="eastAsia" w:ascii="仿宋" w:hAnsi="仿宋" w:eastAsia="仿宋"/>
          <w:sz w:val="32"/>
          <w:szCs w:val="32"/>
        </w:rPr>
        <w:t>（四）所领导审批；</w:t>
      </w:r>
    </w:p>
    <w:p>
      <w:pPr>
        <w:spacing w:line="520" w:lineRule="exact"/>
        <w:ind w:firstLine="555"/>
        <w:rPr>
          <w:rFonts w:ascii="仿宋" w:hAnsi="仿宋" w:eastAsia="仿宋"/>
          <w:sz w:val="32"/>
          <w:szCs w:val="32"/>
        </w:rPr>
      </w:pPr>
      <w:r>
        <w:rPr>
          <w:rFonts w:hint="eastAsia" w:ascii="仿宋" w:hAnsi="仿宋" w:eastAsia="仿宋"/>
          <w:sz w:val="32"/>
          <w:szCs w:val="32"/>
        </w:rPr>
        <w:t>（五）公布考核结果。</w:t>
      </w:r>
    </w:p>
    <w:p>
      <w:pPr>
        <w:spacing w:line="520" w:lineRule="exact"/>
        <w:ind w:firstLine="555"/>
        <w:rPr>
          <w:rFonts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《科技创新团队基础得分计分标准》在征求意见基础上由科技管理处根据实际需要进行适当调整，经所长办公会批准后实施。</w:t>
      </w:r>
    </w:p>
    <w:p>
      <w:pPr>
        <w:spacing w:line="520" w:lineRule="exact"/>
        <w:ind w:firstLine="555"/>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本办法自颁布之日起执行。</w:t>
      </w:r>
    </w:p>
    <w:p>
      <w:pPr>
        <w:spacing w:line="520" w:lineRule="exact"/>
        <w:ind w:firstLine="555"/>
        <w:rPr>
          <w:rFonts w:ascii="仿宋" w:hAnsi="仿宋" w:eastAsia="仿宋" w:cs="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本办法由科技管理处负责解释。</w:t>
      </w:r>
    </w:p>
    <w:p>
      <w:pPr>
        <w:spacing w:line="520" w:lineRule="exact"/>
        <w:rPr>
          <w:rFonts w:ascii="仿宋" w:hAnsi="仿宋" w:eastAsia="仿宋" w:cs="仿宋"/>
          <w:sz w:val="32"/>
          <w:szCs w:val="32"/>
        </w:rPr>
      </w:pPr>
      <w:r>
        <w:rPr>
          <w:rFonts w:hint="eastAsia" w:ascii="仿宋" w:hAnsi="仿宋" w:eastAsia="仿宋" w:cs="仿宋"/>
          <w:sz w:val="32"/>
          <w:szCs w:val="32"/>
        </w:rPr>
        <w:t xml:space="preserve">附件 1：科技创新团队基础得分计分标准 </w:t>
      </w:r>
    </w:p>
    <w:p>
      <w:pPr>
        <w:spacing w:line="520" w:lineRule="exact"/>
        <w:rPr>
          <w:rFonts w:ascii="仿宋" w:hAnsi="仿宋" w:eastAsia="仿宋" w:cs="仿宋"/>
          <w:sz w:val="32"/>
          <w:szCs w:val="32"/>
        </w:rPr>
      </w:pPr>
      <w:r>
        <w:rPr>
          <w:rFonts w:hint="eastAsia" w:ascii="仿宋" w:hAnsi="仿宋" w:eastAsia="仿宋" w:cs="仿宋"/>
          <w:sz w:val="32"/>
          <w:szCs w:val="32"/>
        </w:rPr>
        <w:t>附件 2：2020年科技创新团队目标考核分</w:t>
      </w:r>
      <w:r>
        <w:rPr>
          <w:rFonts w:hint="eastAsia" w:ascii="仿宋" w:hAnsi="仿宋" w:eastAsia="仿宋" w:cs="仿宋"/>
          <w:sz w:val="32"/>
          <w:szCs w:val="32"/>
        </w:rPr>
        <w:br w:type="page"/>
      </w:r>
    </w:p>
    <w:p>
      <w:pPr>
        <w:spacing w:line="600" w:lineRule="exact"/>
        <w:rPr>
          <w:rFonts w:ascii="仿宋" w:hAnsi="仿宋" w:eastAsia="仿宋" w:cs="仿宋"/>
          <w:sz w:val="32"/>
          <w:szCs w:val="32"/>
        </w:rPr>
      </w:pPr>
      <w:r>
        <w:rPr>
          <w:rFonts w:hint="eastAsia" w:ascii="仿宋" w:hAnsi="Times New Roman" w:eastAsia="仿宋" w:cs="Times New Roman"/>
          <w:sz w:val="32"/>
          <w:szCs w:val="32"/>
        </w:rPr>
        <w:t>附件 1：科技创新团队基础得分计分标准</w:t>
      </w:r>
    </w:p>
    <w:tbl>
      <w:tblPr>
        <w:tblStyle w:val="8"/>
        <w:tblW w:w="9928" w:type="dxa"/>
        <w:jc w:val="center"/>
        <w:tblLayout w:type="autofit"/>
        <w:tblCellMar>
          <w:top w:w="0" w:type="dxa"/>
          <w:left w:w="108" w:type="dxa"/>
          <w:bottom w:w="0" w:type="dxa"/>
          <w:right w:w="108" w:type="dxa"/>
        </w:tblCellMar>
      </w:tblPr>
      <w:tblGrid>
        <w:gridCol w:w="754"/>
        <w:gridCol w:w="1050"/>
        <w:gridCol w:w="1560"/>
        <w:gridCol w:w="4308"/>
        <w:gridCol w:w="2256"/>
      </w:tblGrid>
      <w:tr>
        <w:tblPrEx>
          <w:tblCellMar>
            <w:top w:w="0" w:type="dxa"/>
            <w:left w:w="108" w:type="dxa"/>
            <w:bottom w:w="0" w:type="dxa"/>
            <w:right w:w="108" w:type="dxa"/>
          </w:tblCellMar>
        </w:tblPrEx>
        <w:trPr>
          <w:trHeight w:val="40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指标类型</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一级指标</w:t>
            </w:r>
          </w:p>
        </w:tc>
        <w:tc>
          <w:tcPr>
            <w:tcW w:w="1560"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二级指标</w:t>
            </w:r>
          </w:p>
        </w:tc>
        <w:tc>
          <w:tcPr>
            <w:tcW w:w="4308"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b/>
                <w:bCs/>
                <w:kern w:val="0"/>
                <w:sz w:val="24"/>
              </w:rPr>
            </w:pPr>
            <w:r>
              <w:rPr>
                <w:rFonts w:hint="eastAsia" w:ascii="仿宋" w:hAnsi="仿宋" w:eastAsia="仿宋" w:cs="仿宋"/>
                <w:b/>
                <w:bCs/>
                <w:kern w:val="0"/>
                <w:sz w:val="24"/>
              </w:rPr>
              <w:t>统计指标</w:t>
            </w:r>
          </w:p>
        </w:tc>
        <w:tc>
          <w:tcPr>
            <w:tcW w:w="225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单项分值</w:t>
            </w:r>
          </w:p>
        </w:tc>
      </w:tr>
      <w:tr>
        <w:tblPrEx>
          <w:tblCellMar>
            <w:top w:w="0" w:type="dxa"/>
            <w:left w:w="108" w:type="dxa"/>
            <w:bottom w:w="0" w:type="dxa"/>
            <w:right w:w="108" w:type="dxa"/>
          </w:tblCellMar>
        </w:tblPrEx>
        <w:trPr>
          <w:trHeight w:val="379" w:hRule="atLeast"/>
          <w:jc w:val="center"/>
        </w:trPr>
        <w:tc>
          <w:tcPr>
            <w:tcW w:w="754"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定</w:t>
            </w:r>
          </w:p>
          <w:p>
            <w:pPr>
              <w:jc w:val="center"/>
              <w:rPr>
                <w:rFonts w:ascii="仿宋" w:hAnsi="仿宋" w:eastAsia="仿宋" w:cs="仿宋"/>
                <w:kern w:val="0"/>
                <w:sz w:val="24"/>
              </w:rPr>
            </w:pPr>
            <w:r>
              <w:rPr>
                <w:rFonts w:hint="eastAsia" w:ascii="仿宋" w:hAnsi="仿宋" w:eastAsia="仿宋" w:cs="仿宋"/>
                <w:kern w:val="0"/>
                <w:sz w:val="24"/>
              </w:rPr>
              <w:t>量</w:t>
            </w:r>
          </w:p>
          <w:p>
            <w:pPr>
              <w:jc w:val="center"/>
              <w:rPr>
                <w:rFonts w:ascii="仿宋" w:hAnsi="仿宋" w:eastAsia="仿宋" w:cs="仿宋"/>
                <w:kern w:val="0"/>
                <w:sz w:val="24"/>
              </w:rPr>
            </w:pPr>
            <w:r>
              <w:rPr>
                <w:rFonts w:hint="eastAsia" w:ascii="仿宋" w:hAnsi="仿宋" w:eastAsia="仿宋" w:cs="仿宋"/>
                <w:kern w:val="0"/>
                <w:sz w:val="24"/>
              </w:rPr>
              <w:t>计</w:t>
            </w:r>
          </w:p>
          <w:p>
            <w:pPr>
              <w:jc w:val="center"/>
              <w:rPr>
                <w:rFonts w:ascii="仿宋" w:hAnsi="仿宋" w:eastAsia="仿宋" w:cs="仿宋"/>
                <w:kern w:val="0"/>
                <w:sz w:val="24"/>
              </w:rPr>
            </w:pPr>
            <w:r>
              <w:rPr>
                <w:rFonts w:hint="eastAsia" w:ascii="仿宋" w:hAnsi="仿宋" w:eastAsia="仿宋" w:cs="仿宋"/>
                <w:kern w:val="0"/>
                <w:sz w:val="24"/>
              </w:rPr>
              <w:t>分</w:t>
            </w:r>
          </w:p>
          <w:p>
            <w:pPr>
              <w:jc w:val="center"/>
              <w:rPr>
                <w:rFonts w:ascii="仿宋" w:hAnsi="仿宋" w:eastAsia="仿宋" w:cs="仿宋"/>
                <w:kern w:val="0"/>
                <w:sz w:val="24"/>
              </w:rPr>
            </w:pPr>
            <w:r>
              <w:rPr>
                <w:rFonts w:hint="eastAsia" w:ascii="仿宋" w:hAnsi="仿宋" w:eastAsia="仿宋" w:cs="仿宋"/>
                <w:kern w:val="0"/>
                <w:sz w:val="24"/>
              </w:rPr>
              <w:t>评</w:t>
            </w:r>
          </w:p>
          <w:p>
            <w:pPr>
              <w:jc w:val="center"/>
              <w:rPr>
                <w:rFonts w:ascii="仿宋" w:hAnsi="仿宋" w:eastAsia="仿宋" w:cs="仿宋"/>
                <w:kern w:val="0"/>
                <w:sz w:val="24"/>
              </w:rPr>
            </w:pPr>
            <w:r>
              <w:rPr>
                <w:rFonts w:hint="eastAsia" w:ascii="仿宋" w:hAnsi="仿宋" w:eastAsia="仿宋" w:cs="仿宋"/>
                <w:kern w:val="0"/>
                <w:sz w:val="24"/>
              </w:rPr>
              <w:t>价</w:t>
            </w:r>
          </w:p>
        </w:tc>
        <w:tc>
          <w:tcPr>
            <w:tcW w:w="105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1.科研投入</w:t>
            </w:r>
          </w:p>
        </w:tc>
        <w:tc>
          <w:tcPr>
            <w:tcW w:w="1560"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1.1科研项目</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主持国家科技计划重大项目数（国家重点研发计划项目、国家科技重大专项项目、国家自然科学基金重大项目）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1560" w:type="dxa"/>
            <w:vMerge w:val="continue"/>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主持国家科技计划其他项目或课题（国家自然科学基金面上项目、国家社科基金重大项目/国家重点研发计划项目课题及其他）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参与国家科技计划课题数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1.2科研经费</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国家科技计划经费（单位：千万元）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其他科研项目经费（单位：千万元）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2.科研产出</w:t>
            </w:r>
          </w:p>
        </w:tc>
        <w:tc>
          <w:tcPr>
            <w:tcW w:w="156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2.1获奖成果</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国家最高科学技术奖/特等奖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国家自然科学、发明、科技进步一等奖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国家自然科学、发明、科技进步二等奖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省部级特等奖/最高奖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省部级一等奖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省部级二等奖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省部级三等奖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省级哲学社会科学一等奖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省级哲学社会科学二等奖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6</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省级哲学社会科学三等奖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院科学技术成果奖</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2.2认定成果</w:t>
            </w:r>
            <w:r>
              <w:rPr>
                <w:rFonts w:hint="eastAsia" w:ascii="仿宋" w:hAnsi="仿宋" w:eastAsia="仿宋" w:cs="仿宋"/>
                <w:kern w:val="0"/>
                <w:sz w:val="24"/>
              </w:rPr>
              <w:br w:type="textWrapping"/>
            </w:r>
            <w:r>
              <w:rPr>
                <w:rFonts w:hint="eastAsia" w:ascii="仿宋" w:hAnsi="仿宋" w:eastAsia="仿宋" w:cs="仿宋"/>
                <w:kern w:val="0"/>
                <w:sz w:val="24"/>
              </w:rPr>
              <w:t>与知识产权</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国家标准</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行业标准/省级地方标准/全国性社会组织团体标准</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发明专利</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发达国家发明专利</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获中国专利金奖专利</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8</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获中国专利优秀奖专利</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4</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农机新产品</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食品设备许可证</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2.3论文著作</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A级论文</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B级论文</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C级论文</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D级论文</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E级论文</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专著</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编著</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译著</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2.4咨询报告</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中央常委级批示</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副国级批示</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6</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省部级批示</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国家级/省部级皮书</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6/3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参与制定国家部委及以上的发展规划或重要文件</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3.成果转化</w:t>
            </w:r>
          </w:p>
        </w:tc>
        <w:tc>
          <w:tcPr>
            <w:tcW w:w="156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3.1成果经济效益</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成果转化收入（单位：千万元）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知识产权转让收入（单位：千万元）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3.2科技兴农</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农业农村部主推技术</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知识产权转让数（200万元以上/100-200万元/50-100万元/30-50万元/15-30万元/</w:t>
            </w:r>
            <w:r>
              <w:rPr>
                <w:rFonts w:ascii="仿宋" w:hAnsi="仿宋" w:eastAsia="仿宋" w:cs="仿宋"/>
                <w:kern w:val="0"/>
                <w:sz w:val="24"/>
              </w:rPr>
              <w:t>5</w:t>
            </w:r>
            <w:r>
              <w:rPr>
                <w:rFonts w:hint="eastAsia" w:ascii="仿宋" w:hAnsi="仿宋" w:eastAsia="仿宋" w:cs="仿宋"/>
                <w:kern w:val="0"/>
                <w:sz w:val="24"/>
              </w:rPr>
              <w:t>-15万元）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ascii="仿宋" w:hAnsi="仿宋" w:eastAsia="仿宋" w:cs="仿宋"/>
                <w:kern w:val="0"/>
                <w:sz w:val="24"/>
              </w:rPr>
              <w:t>5</w:t>
            </w:r>
            <w:r>
              <w:rPr>
                <w:rFonts w:hint="eastAsia" w:ascii="仿宋" w:hAnsi="仿宋" w:eastAsia="仿宋" w:cs="仿宋"/>
                <w:kern w:val="0"/>
                <w:sz w:val="24"/>
              </w:rPr>
              <w:t>/3/2.5/1.5/1/0.5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牵头绿色增产增效技术集成示范（院考核优/良/中/差）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5/4/3/0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参加绿色增产增效技术集成示范（院认定考核优/良/中/差）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1/0.5/0.3/0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科技培训与咨询服务</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0.2</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科技扶贫工作</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/0.</w:t>
            </w:r>
            <w:r>
              <w:rPr>
                <w:rFonts w:ascii="仿宋" w:hAnsi="仿宋" w:eastAsia="仿宋" w:cs="仿宋"/>
                <w:kern w:val="0"/>
                <w:sz w:val="24"/>
              </w:rPr>
              <w:t>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4.人才队伍</w:t>
            </w: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4.1高层次人才</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顶端人才</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领军人才A</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领军人才B/省级第一层次人才</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领军人才C/省级第二层次人才</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color w:val="000000"/>
                <w:kern w:val="0"/>
                <w:sz w:val="24"/>
              </w:rPr>
              <w:t>8</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青年英才/省级第三层次人才</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4.2人才培养</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硕士研究生毕业数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博士研究生毕业数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博士后出站数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5.科研条件</w:t>
            </w:r>
          </w:p>
        </w:tc>
        <w:tc>
          <w:tcPr>
            <w:tcW w:w="1560"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5.1科技平台</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国家级平台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省部级平台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院级平台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6.协同创新</w:t>
            </w: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6.1 创新联盟</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牵头承担联盟重点任务</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参与联盟重点任务</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6.2 协同创新</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牵头协同创新任务（院考核优/良/中/差）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参与协同创新任务（院认定考核优/良/中/差）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1/0.5/0.3/0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6.3 农业基础性长期性科技工作</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牵头数据总中心/中心任务（院考核优/良/中/差）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3/2/1/0</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参与数据中心任务（院认定考核优/良/中/差）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1/0.5/0.3/0</w:t>
            </w:r>
          </w:p>
        </w:tc>
      </w:tr>
      <w:tr>
        <w:tblPrEx>
          <w:tblCellMar>
            <w:top w:w="0" w:type="dxa"/>
            <w:left w:w="108" w:type="dxa"/>
            <w:bottom w:w="0" w:type="dxa"/>
            <w:right w:w="108" w:type="dxa"/>
          </w:tblCellMar>
        </w:tblPrEx>
        <w:trPr>
          <w:trHeight w:val="773"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7.国际合作</w:t>
            </w:r>
          </w:p>
        </w:tc>
        <w:tc>
          <w:tcPr>
            <w:tcW w:w="1560" w:type="dxa"/>
            <w:vMerge w:val="restart"/>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7.1国际合作项目与经费</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当年新增主持10万美元以上国际合作项目</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773" w:hRule="atLeast"/>
          <w:jc w:val="center"/>
        </w:trPr>
        <w:tc>
          <w:tcPr>
            <w:tcW w:w="754"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当年留所国际合作经费总额（含当年新增）（单位：10万美元）</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33"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7.2国际合作平台</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国内国际合作平台建设（部级/院级）</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w:t>
            </w:r>
          </w:p>
        </w:tc>
      </w:tr>
      <w:tr>
        <w:tblPrEx>
          <w:tblCellMar>
            <w:top w:w="0" w:type="dxa"/>
            <w:left w:w="108" w:type="dxa"/>
            <w:bottom w:w="0" w:type="dxa"/>
            <w:right w:w="108" w:type="dxa"/>
          </w:tblCellMar>
        </w:tblPrEx>
        <w:trPr>
          <w:trHeight w:val="341"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海外国际合作平台建设（部级/院级/所级）</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3/2/1</w:t>
            </w:r>
          </w:p>
        </w:tc>
      </w:tr>
      <w:tr>
        <w:tblPrEx>
          <w:tblCellMar>
            <w:top w:w="0" w:type="dxa"/>
            <w:left w:w="108" w:type="dxa"/>
            <w:bottom w:w="0" w:type="dxa"/>
            <w:right w:w="108" w:type="dxa"/>
          </w:tblCellMar>
        </w:tblPrEx>
        <w:trPr>
          <w:trHeight w:val="345"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科技合作协议（不少于5份/1-5份）</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1/0.5</w:t>
            </w:r>
          </w:p>
        </w:tc>
      </w:tr>
      <w:tr>
        <w:tblPrEx>
          <w:tblCellMar>
            <w:top w:w="0" w:type="dxa"/>
            <w:left w:w="108" w:type="dxa"/>
            <w:bottom w:w="0" w:type="dxa"/>
            <w:right w:w="108" w:type="dxa"/>
          </w:tblCellMar>
        </w:tblPrEx>
        <w:trPr>
          <w:trHeight w:val="416"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kern w:val="0"/>
                <w:sz w:val="24"/>
              </w:rPr>
            </w:pPr>
          </w:p>
        </w:tc>
        <w:tc>
          <w:tcPr>
            <w:tcW w:w="1560" w:type="dxa"/>
            <w:vMerge w:val="restart"/>
            <w:tcBorders>
              <w:top w:val="single" w:color="auto" w:sz="4" w:space="0"/>
              <w:left w:val="single" w:color="auto" w:sz="4" w:space="0"/>
              <w:bottom w:val="nil"/>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7.3国际会议与培训</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国际会议（外宾人数不少于150人/30－150人/30人以下）</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3/2/1</w:t>
            </w:r>
          </w:p>
        </w:tc>
      </w:tr>
      <w:tr>
        <w:tblPrEx>
          <w:tblCellMar>
            <w:top w:w="0" w:type="dxa"/>
            <w:left w:w="108" w:type="dxa"/>
            <w:bottom w:w="0" w:type="dxa"/>
            <w:right w:w="108" w:type="dxa"/>
          </w:tblCellMar>
        </w:tblPrEx>
        <w:trPr>
          <w:trHeight w:val="946" w:hRule="atLeast"/>
          <w:jc w:val="center"/>
        </w:trPr>
        <w:tc>
          <w:tcPr>
            <w:tcW w:w="754" w:type="dxa"/>
            <w:vMerge w:val="continue"/>
            <w:tcBorders>
              <w:left w:val="single" w:color="auto" w:sz="4" w:space="0"/>
              <w:bottom w:val="nil"/>
              <w:right w:val="single" w:color="auto" w:sz="4" w:space="0"/>
            </w:tcBorders>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single" w:color="auto" w:sz="4" w:space="0"/>
              <w:left w:val="single" w:color="auto" w:sz="4" w:space="0"/>
              <w:bottom w:val="nil"/>
              <w:right w:val="single" w:color="auto" w:sz="4" w:space="0"/>
            </w:tcBorders>
            <w:vAlign w:val="center"/>
          </w:tcPr>
          <w:p>
            <w:pPr>
              <w:jc w:val="center"/>
              <w:rPr>
                <w:rFonts w:ascii="仿宋" w:hAnsi="仿宋" w:eastAsia="仿宋" w:cs="仿宋"/>
                <w:sz w:val="24"/>
              </w:rPr>
            </w:pP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国际培训（外宾人数10人以上）</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形成宣言等成果</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7.4国际学术影响</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知名国际学术期刊兼职数（SCI期刊一、二、三区，主编、副主编、编委）</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8/6/3,</w:t>
            </w:r>
          </w:p>
          <w:p>
            <w:pPr>
              <w:jc w:val="center"/>
              <w:rPr>
                <w:rFonts w:ascii="仿宋" w:hAnsi="仿宋" w:eastAsia="仿宋" w:cs="仿宋"/>
                <w:kern w:val="0"/>
                <w:sz w:val="24"/>
              </w:rPr>
            </w:pPr>
            <w:r>
              <w:rPr>
                <w:rFonts w:hint="eastAsia" w:ascii="仿宋" w:hAnsi="仿宋" w:eastAsia="仿宋" w:cs="仿宋"/>
                <w:kern w:val="0"/>
                <w:sz w:val="24"/>
              </w:rPr>
              <w:t>5/3/1,</w:t>
            </w:r>
          </w:p>
          <w:p>
            <w:pPr>
              <w:jc w:val="center"/>
              <w:rPr>
                <w:rFonts w:ascii="仿宋" w:hAnsi="仿宋" w:eastAsia="仿宋" w:cs="仿宋"/>
                <w:kern w:val="0"/>
                <w:sz w:val="24"/>
              </w:rPr>
            </w:pPr>
            <w:r>
              <w:rPr>
                <w:rFonts w:hint="eastAsia" w:ascii="仿宋" w:hAnsi="仿宋" w:eastAsia="仿宋" w:cs="仿宋"/>
                <w:kern w:val="0"/>
                <w:sz w:val="24"/>
              </w:rPr>
              <w:t>3/2/0.5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top w:val="nil"/>
              <w:left w:val="single" w:color="auto" w:sz="4" w:space="0"/>
              <w:right w:val="single" w:color="auto" w:sz="4" w:space="0"/>
            </w:tcBorders>
            <w:vAlign w:val="center"/>
          </w:tcPr>
          <w:p>
            <w:pPr>
              <w:jc w:val="center"/>
              <w:rPr>
                <w:rFonts w:ascii="仿宋" w:hAnsi="仿宋" w:eastAsia="仿宋" w:cs="仿宋"/>
                <w:kern w:val="0"/>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国际机构兼职数（主席、理事长/理事、委员）</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8/6</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主持境外国际会议（大会/分会）</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重要国际学术会议主题报告数</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1</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落实国家/部委/我院与国外签署的合作协议与行动计划</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3/2/0.5</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组织、牵头全国参与或一般性参与全球大科学计划</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5/3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right w:val="single" w:color="auto" w:sz="4" w:space="0"/>
            </w:tcBorders>
            <w:vAlign w:val="center"/>
          </w:tcPr>
          <w:p>
            <w:pPr>
              <w:jc w:val="center"/>
              <w:rPr>
                <w:rFonts w:ascii="仿宋" w:hAnsi="仿宋" w:eastAsia="仿宋" w:cs="仿宋"/>
                <w:sz w:val="24"/>
              </w:rPr>
            </w:pPr>
          </w:p>
        </w:tc>
        <w:tc>
          <w:tcPr>
            <w:tcW w:w="1560"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kern w:val="0"/>
                <w:sz w:val="24"/>
              </w:rPr>
              <w:t>7.5农业技术产品“走出去”</w:t>
            </w: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进行农产品国际贸易，签署销售或代理协议或参与海外投资建厂</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3</w:t>
            </w:r>
          </w:p>
        </w:tc>
      </w:tr>
      <w:tr>
        <w:tblPrEx>
          <w:tblCellMar>
            <w:top w:w="0" w:type="dxa"/>
            <w:left w:w="108" w:type="dxa"/>
            <w:bottom w:w="0" w:type="dxa"/>
            <w:right w:w="108" w:type="dxa"/>
          </w:tblCellMar>
        </w:tblPrEx>
        <w:trPr>
          <w:trHeight w:val="379" w:hRule="atLeast"/>
          <w:jc w:val="center"/>
        </w:trPr>
        <w:tc>
          <w:tcPr>
            <w:tcW w:w="754" w:type="dxa"/>
            <w:vMerge w:val="continue"/>
            <w:tcBorders>
              <w:left w:val="single" w:color="auto" w:sz="4" w:space="0"/>
              <w:bottom w:val="single" w:color="auto" w:sz="4" w:space="0"/>
              <w:right w:val="single" w:color="auto" w:sz="4" w:space="0"/>
            </w:tcBorders>
          </w:tcPr>
          <w:p>
            <w:pPr>
              <w:jc w:val="center"/>
              <w:rPr>
                <w:rFonts w:ascii="仿宋" w:hAnsi="仿宋" w:eastAsia="仿宋" w:cs="仿宋"/>
                <w:kern w:val="0"/>
                <w:sz w:val="24"/>
              </w:rPr>
            </w:pPr>
          </w:p>
        </w:tc>
        <w:tc>
          <w:tcPr>
            <w:tcW w:w="105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4308" w:type="dxa"/>
            <w:tcBorders>
              <w:top w:val="nil"/>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参与农业对外援助、农业资源开发与合作或主持境外政府或企业农业规划</w:t>
            </w:r>
          </w:p>
        </w:tc>
        <w:tc>
          <w:tcPr>
            <w:tcW w:w="2256"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2</w:t>
            </w:r>
          </w:p>
        </w:tc>
      </w:tr>
      <w:tr>
        <w:tblPrEx>
          <w:tblCellMar>
            <w:top w:w="0" w:type="dxa"/>
            <w:left w:w="108" w:type="dxa"/>
            <w:bottom w:w="0" w:type="dxa"/>
            <w:right w:w="108" w:type="dxa"/>
          </w:tblCellMar>
        </w:tblPrEx>
        <w:trPr>
          <w:trHeight w:val="379" w:hRule="atLeast"/>
          <w:jc w:val="center"/>
        </w:trPr>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定</w:t>
            </w:r>
          </w:p>
          <w:p>
            <w:pPr>
              <w:jc w:val="center"/>
              <w:rPr>
                <w:rFonts w:ascii="仿宋" w:hAnsi="仿宋" w:eastAsia="仿宋" w:cs="仿宋"/>
                <w:kern w:val="0"/>
                <w:sz w:val="24"/>
              </w:rPr>
            </w:pPr>
            <w:r>
              <w:rPr>
                <w:rFonts w:hint="eastAsia" w:ascii="仿宋" w:hAnsi="仿宋" w:eastAsia="仿宋" w:cs="仿宋"/>
                <w:kern w:val="0"/>
                <w:sz w:val="24"/>
              </w:rPr>
              <w:t>性</w:t>
            </w:r>
          </w:p>
          <w:p>
            <w:pPr>
              <w:jc w:val="center"/>
              <w:rPr>
                <w:rFonts w:ascii="仿宋" w:hAnsi="仿宋" w:eastAsia="仿宋" w:cs="仿宋"/>
                <w:kern w:val="0"/>
                <w:sz w:val="24"/>
              </w:rPr>
            </w:pPr>
            <w:r>
              <w:rPr>
                <w:rFonts w:hint="eastAsia" w:ascii="仿宋" w:hAnsi="仿宋" w:eastAsia="仿宋" w:cs="仿宋"/>
                <w:kern w:val="0"/>
                <w:sz w:val="24"/>
              </w:rPr>
              <w:t>系</w:t>
            </w:r>
          </w:p>
          <w:p>
            <w:pPr>
              <w:jc w:val="center"/>
              <w:rPr>
                <w:rFonts w:ascii="仿宋" w:hAnsi="仿宋" w:eastAsia="仿宋" w:cs="仿宋"/>
                <w:kern w:val="0"/>
                <w:sz w:val="24"/>
              </w:rPr>
            </w:pPr>
            <w:r>
              <w:rPr>
                <w:rFonts w:hint="eastAsia" w:ascii="仿宋" w:hAnsi="仿宋" w:eastAsia="仿宋" w:cs="仿宋"/>
                <w:kern w:val="0"/>
                <w:sz w:val="24"/>
              </w:rPr>
              <w:t>数</w:t>
            </w:r>
          </w:p>
          <w:p>
            <w:pPr>
              <w:jc w:val="center"/>
              <w:rPr>
                <w:rFonts w:ascii="仿宋" w:hAnsi="仿宋" w:eastAsia="仿宋" w:cs="仿宋"/>
                <w:kern w:val="0"/>
                <w:sz w:val="24"/>
              </w:rPr>
            </w:pPr>
            <w:r>
              <w:rPr>
                <w:rFonts w:hint="eastAsia" w:ascii="仿宋" w:hAnsi="仿宋" w:eastAsia="仿宋" w:cs="仿宋"/>
                <w:kern w:val="0"/>
                <w:sz w:val="24"/>
              </w:rPr>
              <w:t>评</w:t>
            </w:r>
          </w:p>
          <w:p>
            <w:pPr>
              <w:jc w:val="center"/>
              <w:rPr>
                <w:rFonts w:ascii="仿宋" w:hAnsi="仿宋" w:eastAsia="仿宋" w:cs="仿宋"/>
                <w:kern w:val="0"/>
                <w:sz w:val="24"/>
              </w:rPr>
            </w:pPr>
            <w:r>
              <w:rPr>
                <w:rFonts w:hint="eastAsia" w:ascii="仿宋" w:hAnsi="仿宋" w:eastAsia="仿宋" w:cs="仿宋"/>
                <w:kern w:val="0"/>
                <w:sz w:val="24"/>
              </w:rPr>
              <w:t>价</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8.绩效任务与资金使用</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8.1 年度绩效任务</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完成年度绩效任务书规定的考核任务</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未完成规定任务的定量总分扣减10%</w:t>
            </w:r>
          </w:p>
        </w:tc>
      </w:tr>
      <w:tr>
        <w:tblPrEx>
          <w:tblCellMar>
            <w:top w:w="0" w:type="dxa"/>
            <w:left w:w="108" w:type="dxa"/>
            <w:bottom w:w="0" w:type="dxa"/>
            <w:right w:w="108" w:type="dxa"/>
          </w:tblCellMar>
        </w:tblPrEx>
        <w:trPr>
          <w:trHeight w:val="379" w:hRule="atLeast"/>
          <w:jc w:val="center"/>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8.2创新工程经费执行进度</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当年11月底达到院平均执行进度</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每低10个百分点定量总分扣减1%</w:t>
            </w:r>
          </w:p>
        </w:tc>
      </w:tr>
      <w:tr>
        <w:tblPrEx>
          <w:tblCellMar>
            <w:top w:w="0" w:type="dxa"/>
            <w:left w:w="108" w:type="dxa"/>
            <w:bottom w:w="0" w:type="dxa"/>
            <w:right w:w="108" w:type="dxa"/>
          </w:tblCellMar>
        </w:tblPrEx>
        <w:trPr>
          <w:trHeight w:val="379" w:hRule="atLeast"/>
          <w:jc w:val="center"/>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9.学术道德</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9.1 学术失范</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学术失范被查实</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每发生1次定量总分扣减20%</w:t>
            </w:r>
          </w:p>
        </w:tc>
      </w:tr>
      <w:tr>
        <w:tblPrEx>
          <w:tblCellMar>
            <w:top w:w="0" w:type="dxa"/>
            <w:left w:w="108" w:type="dxa"/>
            <w:bottom w:w="0" w:type="dxa"/>
            <w:right w:w="108" w:type="dxa"/>
          </w:tblCellMar>
        </w:tblPrEx>
        <w:trPr>
          <w:trHeight w:val="379" w:hRule="atLeast"/>
          <w:jc w:val="center"/>
        </w:trPr>
        <w:tc>
          <w:tcPr>
            <w:tcW w:w="75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9.2 科研不端</w:t>
            </w:r>
          </w:p>
        </w:tc>
        <w:tc>
          <w:tcPr>
            <w:tcW w:w="43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r>
              <w:rPr>
                <w:rFonts w:hint="eastAsia" w:ascii="仿宋" w:hAnsi="仿宋" w:eastAsia="仿宋" w:cs="仿宋"/>
                <w:kern w:val="0"/>
                <w:sz w:val="24"/>
              </w:rPr>
              <w:t>论文抄袭等科研不端行为被查实</w:t>
            </w:r>
          </w:p>
        </w:tc>
        <w:tc>
          <w:tcPr>
            <w:tcW w:w="2256"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cs="仿宋"/>
                <w:kern w:val="0"/>
                <w:sz w:val="24"/>
              </w:rPr>
            </w:pPr>
            <w:r>
              <w:rPr>
                <w:rFonts w:hint="eastAsia" w:ascii="仿宋" w:hAnsi="仿宋" w:eastAsia="仿宋" w:cs="仿宋"/>
                <w:kern w:val="0"/>
                <w:sz w:val="24"/>
              </w:rPr>
              <w:t>每发生1次定量总分扣减20%</w:t>
            </w:r>
          </w:p>
        </w:tc>
      </w:tr>
    </w:tbl>
    <w:p>
      <w:pPr>
        <w:spacing w:line="500" w:lineRule="exact"/>
        <w:ind w:firstLine="555"/>
        <w:jc w:val="left"/>
        <w:rPr>
          <w:rFonts w:ascii="仿宋" w:hAnsi="仿宋" w:eastAsia="仿宋" w:cs="仿宋"/>
          <w:sz w:val="24"/>
        </w:rPr>
      </w:pPr>
      <w:r>
        <w:rPr>
          <w:rFonts w:hint="eastAsia" w:ascii="仿宋" w:hAnsi="仿宋" w:eastAsia="仿宋" w:cs="仿宋"/>
          <w:sz w:val="24"/>
        </w:rPr>
        <w:t>说明：</w:t>
      </w:r>
    </w:p>
    <w:p>
      <w:pPr>
        <w:spacing w:line="500" w:lineRule="exact"/>
        <w:ind w:firstLine="555"/>
        <w:jc w:val="left"/>
        <w:rPr>
          <w:rFonts w:ascii="仿宋" w:hAnsi="仿宋" w:eastAsia="仿宋" w:cs="仿宋"/>
          <w:sz w:val="24"/>
        </w:rPr>
      </w:pPr>
      <w:r>
        <w:rPr>
          <w:rFonts w:hint="eastAsia" w:ascii="仿宋" w:hAnsi="仿宋" w:eastAsia="仿宋" w:cs="仿宋"/>
          <w:sz w:val="24"/>
        </w:rPr>
        <w:t>1.以第二、第三、第四、第五及以后参加身份获得的科研产出分别按照标准的50%、40%、30%、20%计分。</w:t>
      </w:r>
    </w:p>
    <w:p>
      <w:pPr>
        <w:spacing w:line="500" w:lineRule="exact"/>
        <w:ind w:firstLine="555"/>
        <w:jc w:val="left"/>
        <w:rPr>
          <w:rFonts w:ascii="仿宋" w:hAnsi="仿宋" w:eastAsia="仿宋" w:cs="仿宋"/>
          <w:sz w:val="24"/>
        </w:rPr>
      </w:pPr>
      <w:r>
        <w:rPr>
          <w:rFonts w:hint="eastAsia" w:ascii="仿宋" w:hAnsi="仿宋" w:eastAsia="仿宋" w:cs="仿宋"/>
          <w:sz w:val="24"/>
        </w:rPr>
        <w:t>2.所内不同团队共同完成的项目或科研产出，基础得分算在第一承担团队，各参与团队自行协调。</w:t>
      </w:r>
    </w:p>
    <w:p>
      <w:pPr>
        <w:spacing w:line="500" w:lineRule="exact"/>
        <w:ind w:firstLine="555"/>
        <w:jc w:val="left"/>
        <w:rPr>
          <w:rFonts w:ascii="仿宋" w:hAnsi="仿宋" w:eastAsia="仿宋" w:cs="仿宋"/>
          <w:sz w:val="24"/>
        </w:rPr>
      </w:pPr>
      <w:r>
        <w:rPr>
          <w:rFonts w:hint="eastAsia" w:ascii="仿宋" w:hAnsi="仿宋" w:eastAsia="仿宋" w:cs="仿宋"/>
          <w:sz w:val="24"/>
        </w:rPr>
        <w:t>3.凡在年底完成项目合同书规定任务的纵向项目，均可按项目预算提取绩效奖金。</w:t>
      </w:r>
    </w:p>
    <w:p>
      <w:pPr>
        <w:spacing w:line="500" w:lineRule="exact"/>
        <w:ind w:firstLine="555"/>
        <w:jc w:val="left"/>
        <w:rPr>
          <w:rFonts w:ascii="仿宋" w:hAnsi="仿宋" w:eastAsia="仿宋" w:cs="仿宋"/>
          <w:sz w:val="24"/>
        </w:rPr>
      </w:pPr>
      <w:r>
        <w:rPr>
          <w:rFonts w:hint="eastAsia" w:ascii="仿宋" w:hAnsi="仿宋" w:eastAsia="仿宋" w:cs="仿宋"/>
          <w:sz w:val="24"/>
        </w:rPr>
        <w:t>4.关于“高层次人才”得分，当年入选相关人才计划且不再需要任期考核的，仅在入选当年一次性计分；当年入选相关人才计划但仍需任期考核的，除入选当年按标准计分外，其余年份减半计分；国际机构兼职数（主席、理事长/理事、委员）新当选或换届连任当年计全分，其他年份减半计分。</w:t>
      </w:r>
    </w:p>
    <w:p>
      <w:pPr>
        <w:spacing w:line="500" w:lineRule="exact"/>
        <w:ind w:firstLine="555"/>
        <w:jc w:val="left"/>
        <w:rPr>
          <w:rFonts w:ascii="仿宋" w:hAnsi="仿宋" w:eastAsia="仿宋" w:cs="仿宋"/>
          <w:sz w:val="24"/>
        </w:rPr>
      </w:pPr>
      <w:r>
        <w:rPr>
          <w:rFonts w:hint="eastAsia" w:ascii="仿宋" w:hAnsi="仿宋" w:eastAsia="仿宋" w:cs="仿宋"/>
          <w:sz w:val="24"/>
        </w:rPr>
        <w:t>5.关于“科技平台”得分，当年立项且不再需要考核的，仅在立项当年一次性计分；当年立项但仍需考核验收的，除立项当年按标准计分外，其余考核通过年份减半计分。</w:t>
      </w:r>
    </w:p>
    <w:p>
      <w:pPr>
        <w:spacing w:line="500" w:lineRule="exact"/>
        <w:ind w:firstLine="555"/>
        <w:jc w:val="left"/>
        <w:rPr>
          <w:rFonts w:ascii="仿宋" w:hAnsi="仿宋" w:eastAsia="仿宋" w:cs="仿宋"/>
          <w:sz w:val="24"/>
        </w:rPr>
      </w:pPr>
      <w:r>
        <w:rPr>
          <w:rFonts w:hint="eastAsia" w:ascii="仿宋" w:hAnsi="仿宋" w:eastAsia="仿宋" w:cs="仿宋"/>
          <w:sz w:val="24"/>
        </w:rPr>
        <w:t>6.顶端人才、领军人才A/B/C类和青年人才，依据《中国农业科学院农科英才特殊支持管理暂行办法》核定；省级人才计分核实以省级人才主管部门认定为准。</w:t>
      </w:r>
    </w:p>
    <w:p>
      <w:pPr>
        <w:spacing w:line="500" w:lineRule="exact"/>
        <w:ind w:firstLine="555"/>
        <w:jc w:val="left"/>
        <w:rPr>
          <w:rFonts w:ascii="仿宋" w:hAnsi="仿宋" w:eastAsia="仿宋" w:cs="仿宋"/>
          <w:sz w:val="24"/>
        </w:rPr>
      </w:pPr>
      <w:r>
        <w:rPr>
          <w:rFonts w:ascii="仿宋" w:hAnsi="仿宋" w:eastAsia="仿宋" w:cs="仿宋"/>
          <w:sz w:val="24"/>
        </w:rPr>
        <w:t>7</w:t>
      </w:r>
      <w:r>
        <w:rPr>
          <w:rFonts w:hint="eastAsia" w:ascii="仿宋" w:hAnsi="仿宋" w:eastAsia="仿宋" w:cs="仿宋"/>
          <w:sz w:val="24"/>
        </w:rPr>
        <w:t>.</w:t>
      </w:r>
      <w:r>
        <w:rPr>
          <w:rFonts w:hint="eastAsia" w:ascii="仿宋" w:hAnsi="仿宋" w:eastAsia="仿宋"/>
          <w:sz w:val="24"/>
        </w:rPr>
        <w:t>发明专利:指当年获得发明专利证书或国家知识产权局官网公布的法律状态是</w:t>
      </w:r>
      <w:r>
        <w:rPr>
          <w:rFonts w:ascii="仿宋" w:hAnsi="仿宋" w:eastAsia="仿宋"/>
          <w:sz w:val="24"/>
        </w:rPr>
        <w:t>“</w:t>
      </w:r>
      <w:r>
        <w:rPr>
          <w:rFonts w:hint="eastAsia" w:ascii="仿宋" w:hAnsi="仿宋" w:eastAsia="仿宋"/>
          <w:sz w:val="24"/>
        </w:rPr>
        <w:t>授权</w:t>
      </w:r>
      <w:r>
        <w:rPr>
          <w:rFonts w:ascii="仿宋" w:hAnsi="仿宋" w:eastAsia="仿宋"/>
          <w:sz w:val="24"/>
        </w:rPr>
        <w:t>”</w:t>
      </w:r>
      <w:r>
        <w:rPr>
          <w:rFonts w:hint="eastAsia" w:ascii="仿宋" w:hAnsi="仿宋" w:eastAsia="仿宋"/>
          <w:sz w:val="24"/>
        </w:rPr>
        <w:t>的发明专利。</w:t>
      </w:r>
    </w:p>
    <w:p>
      <w:pPr>
        <w:spacing w:line="500" w:lineRule="exact"/>
        <w:ind w:firstLine="555"/>
        <w:jc w:val="left"/>
        <w:rPr>
          <w:rFonts w:ascii="仿宋" w:hAnsi="仿宋" w:eastAsia="仿宋" w:cs="仿宋"/>
          <w:sz w:val="24"/>
        </w:rPr>
      </w:pPr>
      <w:r>
        <w:rPr>
          <w:rFonts w:hint="eastAsia" w:ascii="仿宋" w:hAnsi="仿宋" w:eastAsia="仿宋" w:cs="仿宋"/>
          <w:sz w:val="24"/>
        </w:rPr>
        <w:t>8. 发达国家发明专利计分标准：指当年获得发达国家专利证书的发明专利，每在一个国家或地区授权算1项;以PCT方式进入国家阶段并获得发达国家专利受理通知书的当年计1分；</w:t>
      </w:r>
      <w:r>
        <w:rPr>
          <w:rFonts w:hint="eastAsia" w:ascii="仿宋" w:hAnsi="仿宋" w:eastAsia="仿宋" w:cs="仿宋"/>
          <w:kern w:val="0"/>
          <w:sz w:val="24"/>
        </w:rPr>
        <w:t>当年获得发达国家专利授权的PCT专利与中国农科院研究所评价体系赋分同值。</w:t>
      </w:r>
    </w:p>
    <w:p>
      <w:pPr>
        <w:spacing w:line="500" w:lineRule="exact"/>
        <w:ind w:firstLine="555"/>
        <w:jc w:val="left"/>
        <w:rPr>
          <w:rFonts w:ascii="仿宋" w:hAnsi="仿宋" w:eastAsia="仿宋" w:cs="仿宋"/>
          <w:sz w:val="24"/>
        </w:rPr>
      </w:pPr>
      <w:r>
        <w:rPr>
          <w:rFonts w:hint="eastAsia" w:ascii="仿宋" w:hAnsi="仿宋" w:eastAsia="仿宋" w:cs="仿宋"/>
          <w:sz w:val="24"/>
        </w:rPr>
        <w:t>9、成果转化收入指技术开发、技术咨询、技术服务、科技培训、检测、自行转化实施的自制产品销售等形成的当年实际到账收入。知识产权转让收入指转让、许可专利或技术秘密所获得的当年实际到账收入。知识产权转让数指当年知识产权成果技术转让、许可有实际经费到账的合同数量。经费到账额为</w:t>
      </w:r>
      <w:r>
        <w:rPr>
          <w:rFonts w:ascii="仿宋" w:hAnsi="仿宋" w:eastAsia="仿宋" w:cs="仿宋"/>
          <w:sz w:val="24"/>
        </w:rPr>
        <w:t>5</w:t>
      </w:r>
      <w:r>
        <w:rPr>
          <w:rFonts w:hint="eastAsia" w:ascii="仿宋" w:hAnsi="仿宋" w:eastAsia="仿宋" w:cs="仿宋"/>
          <w:sz w:val="24"/>
        </w:rPr>
        <w:t>～15万元（不含1</w:t>
      </w:r>
      <w:r>
        <w:rPr>
          <w:rFonts w:ascii="仿宋" w:hAnsi="仿宋" w:eastAsia="仿宋" w:cs="仿宋"/>
          <w:sz w:val="24"/>
        </w:rPr>
        <w:t>5</w:t>
      </w:r>
      <w:r>
        <w:rPr>
          <w:rFonts w:hint="eastAsia" w:ascii="仿宋" w:hAnsi="仿宋" w:eastAsia="仿宋" w:cs="仿宋"/>
          <w:sz w:val="24"/>
        </w:rPr>
        <w:t>万元）的知识产权转让数每个团队计分限3项。</w:t>
      </w:r>
    </w:p>
    <w:p>
      <w:pPr>
        <w:spacing w:line="500" w:lineRule="exact"/>
        <w:ind w:firstLine="555"/>
        <w:jc w:val="left"/>
        <w:rPr>
          <w:rFonts w:ascii="仿宋" w:hAnsi="仿宋" w:eastAsia="仿宋" w:cs="仿宋"/>
          <w:sz w:val="24"/>
        </w:rPr>
      </w:pPr>
      <w:r>
        <w:rPr>
          <w:rFonts w:hint="eastAsia" w:ascii="仿宋" w:hAnsi="仿宋" w:eastAsia="仿宋" w:cs="仿宋"/>
          <w:sz w:val="24"/>
        </w:rPr>
        <w:t>10、关于科技扶贫工作</w:t>
      </w:r>
    </w:p>
    <w:p>
      <w:pPr>
        <w:spacing w:line="500" w:lineRule="exact"/>
        <w:ind w:firstLine="555"/>
        <w:jc w:val="left"/>
        <w:rPr>
          <w:rFonts w:ascii="仿宋" w:hAnsi="仿宋" w:eastAsia="仿宋" w:cs="仿宋"/>
          <w:sz w:val="24"/>
        </w:rPr>
      </w:pPr>
      <w:r>
        <w:rPr>
          <w:rFonts w:hint="eastAsia" w:ascii="仿宋" w:hAnsi="仿宋" w:eastAsia="仿宋" w:cs="仿宋"/>
          <w:sz w:val="24"/>
        </w:rPr>
        <w:t>认定标准：指我所对接的5个“三区三州”深度贫困地区县、参加农业农村部5个定点扶贫县、中国农科院4个乡村振兴和4个科技扶贫示范县及其它贫困地区开展的扶贫工作。工作内容包括：一是牵头组织培训，活动参与人数不少于30人，应提供现场人员的签字；二是示范推广，应提供以我所为牵头或主要参加单位的红头会议通知；三是咨询服务，编制发展规划，技术方案等，应提供完整的相关发展报告、技术方案、县域及以上调研报告。</w:t>
      </w:r>
    </w:p>
    <w:p>
      <w:pPr>
        <w:spacing w:line="500" w:lineRule="exact"/>
        <w:ind w:firstLine="555"/>
        <w:jc w:val="left"/>
        <w:rPr>
          <w:rFonts w:ascii="仿宋" w:hAnsi="仿宋" w:eastAsia="仿宋" w:cs="仿宋"/>
          <w:sz w:val="24"/>
        </w:rPr>
      </w:pPr>
      <w:r>
        <w:rPr>
          <w:rFonts w:hint="eastAsia" w:ascii="仿宋" w:hAnsi="仿宋" w:eastAsia="仿宋" w:cs="仿宋"/>
          <w:sz w:val="24"/>
        </w:rPr>
        <w:t>计分标准：我所定向对接的5个“三区三州”深度贫困地区县（西藏贡觉县、西藏左贡县、西藏拉孜县、新疆柯坪县、青海尖扎县），每项计</w:t>
      </w:r>
      <w:r>
        <w:rPr>
          <w:rFonts w:ascii="仿宋" w:hAnsi="仿宋" w:eastAsia="仿宋" w:cs="仿宋"/>
          <w:sz w:val="24"/>
        </w:rPr>
        <w:t>2</w:t>
      </w:r>
      <w:r>
        <w:rPr>
          <w:rFonts w:hint="eastAsia" w:ascii="仿宋" w:hAnsi="仿宋" w:eastAsia="仿宋" w:cs="仿宋"/>
          <w:sz w:val="24"/>
        </w:rPr>
        <w:t>分；参加农业农村部5个定点扶贫县（湖南永顺县、湖南龙山县、湖北咸丰县、湖北来凤县、贵州剑河县）、中国农科院4个乡村振兴（江苏东海县、四川邛崃市、河南兰考县、江西婺源县）和4个科技扶贫示范县（河北阜平县、甘肃临潭县、黑龙江桦川县、陕西紫阳县）活动，每项计</w:t>
      </w:r>
      <w:r>
        <w:rPr>
          <w:rFonts w:ascii="仿宋" w:hAnsi="仿宋" w:eastAsia="仿宋" w:cs="仿宋"/>
          <w:sz w:val="24"/>
        </w:rPr>
        <w:t>1</w:t>
      </w:r>
      <w:r>
        <w:rPr>
          <w:rFonts w:hint="eastAsia" w:ascii="仿宋" w:hAnsi="仿宋" w:eastAsia="仿宋" w:cs="仿宋"/>
          <w:sz w:val="24"/>
        </w:rPr>
        <w:t>分；其他扶贫活动，每项计0.</w:t>
      </w:r>
      <w:r>
        <w:rPr>
          <w:rFonts w:ascii="仿宋" w:hAnsi="仿宋" w:eastAsia="仿宋" w:cs="仿宋"/>
          <w:sz w:val="24"/>
        </w:rPr>
        <w:t>5</w:t>
      </w:r>
      <w:r>
        <w:rPr>
          <w:rFonts w:hint="eastAsia" w:ascii="仿宋" w:hAnsi="仿宋" w:eastAsia="仿宋" w:cs="仿宋"/>
          <w:sz w:val="24"/>
        </w:rPr>
        <w:t>分。每个团队计算分值的年度科技扶贫活动不超过3项。</w:t>
      </w:r>
    </w:p>
    <w:p>
      <w:pPr>
        <w:spacing w:line="500" w:lineRule="exact"/>
        <w:ind w:firstLine="555"/>
        <w:jc w:val="left"/>
        <w:rPr>
          <w:rFonts w:ascii="仿宋" w:hAnsi="仿宋" w:eastAsia="仿宋" w:cs="仿宋"/>
          <w:sz w:val="24"/>
        </w:rPr>
      </w:pPr>
      <w:r>
        <w:rPr>
          <w:rFonts w:hint="eastAsia" w:ascii="仿宋" w:hAnsi="仿宋" w:eastAsia="仿宋" w:cs="仿宋"/>
          <w:sz w:val="24"/>
        </w:rPr>
        <w:t>11、科技培训与服务指当年组织开展的可查的科技下乡、科技培训、科学普及、成果观摩和技术咨询服务情况。根据培训和观摩会通知与现场农民的签字表等可查记录，每场次计0.2分，每团队最高累计1分。</w:t>
      </w:r>
    </w:p>
    <w:p>
      <w:pPr>
        <w:spacing w:line="500" w:lineRule="exact"/>
        <w:ind w:firstLine="555"/>
        <w:jc w:val="left"/>
        <w:rPr>
          <w:rFonts w:ascii="仿宋" w:hAnsi="仿宋" w:eastAsia="仿宋" w:cs="仿宋"/>
          <w:sz w:val="24"/>
        </w:rPr>
      </w:pPr>
      <w:r>
        <w:rPr>
          <w:rFonts w:hint="eastAsia" w:ascii="仿宋" w:hAnsi="仿宋" w:eastAsia="仿宋" w:cs="仿宋"/>
          <w:sz w:val="24"/>
        </w:rPr>
        <w:t>12、农机新产品判定标准。同时满足下述三个条件的农机产品：一是产品与团队的研发方向或重点任务相关度高；二是产品获得省级及以上农业机械推广鉴定证书或农业机械试验鉴定证书（当年在证书有效期内）；三是与企业就产品核心技术拥有如下任意一种形式均可：（1）授权发明专利（共同为专利权人），（2）签订纵向项目课题任务书，（3）签订技术转让合同或技术开发合同或技术服务合同（合同实际到账经费额不低于</w:t>
      </w:r>
      <w:r>
        <w:rPr>
          <w:rFonts w:ascii="仿宋" w:hAnsi="仿宋" w:eastAsia="仿宋" w:cs="仿宋"/>
          <w:sz w:val="24"/>
        </w:rPr>
        <w:t>5</w:t>
      </w:r>
      <w:r>
        <w:rPr>
          <w:rFonts w:hint="eastAsia" w:ascii="仿宋" w:hAnsi="仿宋" w:eastAsia="仿宋" w:cs="仿宋"/>
          <w:sz w:val="24"/>
        </w:rPr>
        <w:t>万元）。</w:t>
      </w:r>
    </w:p>
    <w:p>
      <w:pPr>
        <w:spacing w:line="500" w:lineRule="exact"/>
        <w:ind w:firstLine="555"/>
        <w:jc w:val="left"/>
        <w:rPr>
          <w:rFonts w:ascii="仿宋" w:hAnsi="仿宋" w:eastAsia="仿宋" w:cs="仿宋"/>
          <w:sz w:val="24"/>
        </w:rPr>
      </w:pPr>
      <w:r>
        <w:rPr>
          <w:rFonts w:hint="eastAsia" w:ascii="仿宋" w:hAnsi="仿宋" w:eastAsia="仿宋" w:cs="仿宋"/>
          <w:sz w:val="24"/>
        </w:rPr>
        <w:t>13.论文分级分类标准如下：</w:t>
      </w:r>
    </w:p>
    <w:tbl>
      <w:tblPr>
        <w:tblStyle w:val="8"/>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2268"/>
        <w:gridCol w:w="2268"/>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期刊级别</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自然科学类</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工程类</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社科类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center"/>
              <w:rPr>
                <w:rFonts w:ascii="仿宋" w:hAnsi="仿宋" w:eastAsia="仿宋" w:cs="仿宋"/>
                <w:kern w:val="0"/>
                <w:sz w:val="22"/>
                <w:szCs w:val="24"/>
              </w:rPr>
            </w:pPr>
            <w:r>
              <w:rPr>
                <w:rFonts w:hint="eastAsia" w:ascii="仿宋" w:hAnsi="仿宋" w:eastAsia="仿宋" w:cs="仿宋"/>
                <w:kern w:val="0"/>
                <w:sz w:val="22"/>
                <w:szCs w:val="24"/>
              </w:rPr>
              <w:t>A</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SCI期刊（影响因子不低于10）</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SCI期刊（影响因子不低于5）</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SSCI期刊（影响因子不低于1）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center"/>
              <w:rPr>
                <w:rFonts w:ascii="仿宋" w:hAnsi="仿宋" w:eastAsia="仿宋" w:cs="仿宋"/>
                <w:kern w:val="0"/>
                <w:sz w:val="22"/>
                <w:szCs w:val="24"/>
              </w:rPr>
            </w:pPr>
            <w:r>
              <w:rPr>
                <w:rFonts w:hint="eastAsia" w:ascii="仿宋" w:hAnsi="仿宋" w:eastAsia="仿宋" w:cs="仿宋"/>
                <w:kern w:val="0"/>
                <w:sz w:val="22"/>
                <w:szCs w:val="24"/>
              </w:rPr>
              <w:t>B</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SCI期刊（影响因子不低于5）</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其他SCI期刊（影响因子不低于3）</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其他SSCI期刊、经济研究、管理世界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center"/>
              <w:rPr>
                <w:rFonts w:ascii="仿宋" w:hAnsi="仿宋" w:eastAsia="仿宋" w:cs="仿宋"/>
                <w:kern w:val="0"/>
                <w:sz w:val="22"/>
                <w:szCs w:val="24"/>
              </w:rPr>
            </w:pPr>
            <w:r>
              <w:rPr>
                <w:rFonts w:hint="eastAsia" w:ascii="仿宋" w:hAnsi="仿宋" w:eastAsia="仿宋" w:cs="仿宋"/>
                <w:kern w:val="0"/>
                <w:sz w:val="22"/>
                <w:szCs w:val="24"/>
              </w:rPr>
              <w:t>C</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其他SCI期刊</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其他SCI期刊、EI期刊（含农业工程学报、农业机械学报）</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其他CSSCI收录期刊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center"/>
              <w:rPr>
                <w:rFonts w:ascii="仿宋" w:hAnsi="仿宋" w:eastAsia="仿宋" w:cs="仿宋"/>
                <w:kern w:val="0"/>
                <w:sz w:val="22"/>
                <w:szCs w:val="24"/>
              </w:rPr>
            </w:pPr>
            <w:r>
              <w:rPr>
                <w:rFonts w:hint="eastAsia" w:ascii="仿宋" w:hAnsi="仿宋" w:eastAsia="仿宋" w:cs="仿宋"/>
                <w:kern w:val="0"/>
                <w:sz w:val="22"/>
                <w:szCs w:val="24"/>
              </w:rPr>
              <w:t>D</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北大中文核心期刊</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北大中文核心期刊</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北大中文核心期刊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6" w:type="dxa"/>
            <w:shd w:val="clear" w:color="auto" w:fill="auto"/>
            <w:vAlign w:val="center"/>
          </w:tcPr>
          <w:p>
            <w:pPr>
              <w:jc w:val="center"/>
              <w:rPr>
                <w:rFonts w:ascii="仿宋" w:hAnsi="仿宋" w:eastAsia="仿宋" w:cs="仿宋"/>
                <w:kern w:val="0"/>
                <w:sz w:val="22"/>
                <w:szCs w:val="24"/>
              </w:rPr>
            </w:pPr>
            <w:r>
              <w:rPr>
                <w:rFonts w:hint="eastAsia" w:ascii="仿宋" w:hAnsi="仿宋" w:eastAsia="仿宋" w:cs="仿宋"/>
                <w:kern w:val="0"/>
                <w:sz w:val="22"/>
                <w:szCs w:val="24"/>
              </w:rPr>
              <w:t>E</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其他中文期刊</w:t>
            </w:r>
          </w:p>
        </w:tc>
        <w:tc>
          <w:tcPr>
            <w:tcW w:w="2268"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其他中文期刊</w:t>
            </w:r>
          </w:p>
        </w:tc>
        <w:tc>
          <w:tcPr>
            <w:tcW w:w="3654" w:type="dxa"/>
            <w:shd w:val="clear" w:color="auto" w:fill="auto"/>
            <w:vAlign w:val="center"/>
          </w:tcPr>
          <w:p>
            <w:pPr>
              <w:jc w:val="left"/>
              <w:rPr>
                <w:rFonts w:ascii="仿宋" w:hAnsi="仿宋" w:eastAsia="仿宋" w:cs="仿宋"/>
                <w:kern w:val="0"/>
                <w:sz w:val="20"/>
                <w:szCs w:val="21"/>
              </w:rPr>
            </w:pPr>
            <w:r>
              <w:rPr>
                <w:rFonts w:hint="eastAsia" w:ascii="仿宋" w:hAnsi="仿宋" w:eastAsia="仿宋" w:cs="仿宋"/>
                <w:kern w:val="0"/>
                <w:sz w:val="20"/>
                <w:szCs w:val="21"/>
              </w:rPr>
              <w:t>其他中文期刊</w:t>
            </w:r>
          </w:p>
        </w:tc>
      </w:tr>
    </w:tbl>
    <w:p>
      <w:pPr>
        <w:spacing w:line="640" w:lineRule="exact"/>
        <w:ind w:firstLine="480" w:firstLineChars="200"/>
        <w:jc w:val="left"/>
        <w:rPr>
          <w:rFonts w:ascii="仿宋" w:hAnsi="仿宋" w:eastAsia="仿宋" w:cs="仿宋"/>
          <w:kern w:val="0"/>
          <w:sz w:val="24"/>
        </w:rPr>
      </w:pPr>
      <w:r>
        <w:rPr>
          <w:rFonts w:hint="eastAsia" w:ascii="仿宋" w:hAnsi="仿宋" w:eastAsia="仿宋" w:cs="仿宋"/>
          <w:kern w:val="0"/>
          <w:sz w:val="24"/>
        </w:rPr>
        <w:t>（1）SCI、EI收录的期刊增刊类论文每篇计0.2分，其它增刊、专刊、专辑、特刊、各类来源数据库扩展版、论文译文等不计入以上各级学术论文；</w:t>
      </w:r>
    </w:p>
    <w:p>
      <w:pPr>
        <w:spacing w:line="640" w:lineRule="exact"/>
        <w:ind w:firstLine="480" w:firstLineChars="200"/>
        <w:jc w:val="left"/>
        <w:rPr>
          <w:rFonts w:ascii="仿宋" w:hAnsi="仿宋" w:eastAsia="仿宋" w:cs="仿宋"/>
          <w:kern w:val="0"/>
          <w:sz w:val="24"/>
        </w:rPr>
      </w:pPr>
      <w:r>
        <w:rPr>
          <w:rFonts w:hint="eastAsia" w:ascii="仿宋" w:hAnsi="仿宋" w:eastAsia="仿宋" w:cs="仿宋"/>
          <w:kern w:val="0"/>
          <w:sz w:val="24"/>
        </w:rPr>
        <w:t>（2）第一作者和通讯作者同时为我所的社科类A至C级论文按照标准的两倍计分（未标注通讯作者的默认第一作者为通讯作者）；</w:t>
      </w:r>
    </w:p>
    <w:p>
      <w:pPr>
        <w:spacing w:line="640" w:lineRule="exact"/>
        <w:ind w:firstLine="480" w:firstLineChars="200"/>
        <w:jc w:val="left"/>
        <w:rPr>
          <w:rFonts w:ascii="仿宋" w:hAnsi="仿宋" w:eastAsia="仿宋" w:cs="仿宋"/>
          <w:kern w:val="0"/>
          <w:sz w:val="24"/>
        </w:rPr>
      </w:pPr>
      <w:r>
        <w:rPr>
          <w:rFonts w:hint="eastAsia" w:ascii="仿宋" w:hAnsi="仿宋" w:eastAsia="仿宋" w:cs="仿宋"/>
          <w:kern w:val="0"/>
          <w:sz w:val="24"/>
        </w:rPr>
        <w:t>（3）由于采用多个来源数据库，同一论文出现在不同级别的，按就高原则实行；</w:t>
      </w:r>
    </w:p>
    <w:p>
      <w:pPr>
        <w:spacing w:line="640" w:lineRule="exact"/>
        <w:ind w:firstLine="480" w:firstLineChars="200"/>
        <w:jc w:val="left"/>
        <w:rPr>
          <w:rFonts w:ascii="仿宋" w:hAnsi="仿宋" w:eastAsia="仿宋" w:cs="仿宋"/>
          <w:kern w:val="0"/>
          <w:sz w:val="24"/>
        </w:rPr>
      </w:pPr>
      <w:r>
        <w:rPr>
          <w:rFonts w:hint="eastAsia" w:ascii="仿宋" w:hAnsi="仿宋" w:eastAsia="仿宋" w:cs="仿宋"/>
          <w:kern w:val="0"/>
          <w:sz w:val="24"/>
        </w:rPr>
        <w:t>（4）公开发表的中文刊物必须同时有国际标准刊号ISSN及国内统一刊号CN。</w:t>
      </w:r>
    </w:p>
    <w:p>
      <w:pPr>
        <w:widowControl/>
        <w:jc w:val="left"/>
        <w:rPr>
          <w:rFonts w:ascii="仿宋" w:hAnsi="仿宋" w:eastAsia="仿宋" w:cs="仿宋"/>
          <w:kern w:val="0"/>
          <w:sz w:val="24"/>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97161"/>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4C52"/>
    <w:rsid w:val="000021C7"/>
    <w:rsid w:val="00024452"/>
    <w:rsid w:val="00035903"/>
    <w:rsid w:val="00053DC5"/>
    <w:rsid w:val="000601A4"/>
    <w:rsid w:val="000622FC"/>
    <w:rsid w:val="00086139"/>
    <w:rsid w:val="00092F7C"/>
    <w:rsid w:val="000A2945"/>
    <w:rsid w:val="000A3F67"/>
    <w:rsid w:val="000A702C"/>
    <w:rsid w:val="000B7B81"/>
    <w:rsid w:val="000C423C"/>
    <w:rsid w:val="000F2009"/>
    <w:rsid w:val="00127E3A"/>
    <w:rsid w:val="00134BFA"/>
    <w:rsid w:val="001939AB"/>
    <w:rsid w:val="001D3C4D"/>
    <w:rsid w:val="002063A9"/>
    <w:rsid w:val="00237B88"/>
    <w:rsid w:val="00254DF2"/>
    <w:rsid w:val="00254FB9"/>
    <w:rsid w:val="00260EB8"/>
    <w:rsid w:val="00265ECC"/>
    <w:rsid w:val="002727AA"/>
    <w:rsid w:val="0027524F"/>
    <w:rsid w:val="00275D48"/>
    <w:rsid w:val="00292C3D"/>
    <w:rsid w:val="00294164"/>
    <w:rsid w:val="00295350"/>
    <w:rsid w:val="002A7208"/>
    <w:rsid w:val="002B723E"/>
    <w:rsid w:val="002C66F0"/>
    <w:rsid w:val="002D7426"/>
    <w:rsid w:val="002F4B0F"/>
    <w:rsid w:val="002F7461"/>
    <w:rsid w:val="00305A18"/>
    <w:rsid w:val="00337B80"/>
    <w:rsid w:val="00344E34"/>
    <w:rsid w:val="003633CB"/>
    <w:rsid w:val="00366F33"/>
    <w:rsid w:val="00384195"/>
    <w:rsid w:val="00395A04"/>
    <w:rsid w:val="00397D9D"/>
    <w:rsid w:val="003B135D"/>
    <w:rsid w:val="003B2E60"/>
    <w:rsid w:val="003C4732"/>
    <w:rsid w:val="003C70A8"/>
    <w:rsid w:val="003D6BCC"/>
    <w:rsid w:val="003F3DEF"/>
    <w:rsid w:val="003F789E"/>
    <w:rsid w:val="0040718F"/>
    <w:rsid w:val="004176FF"/>
    <w:rsid w:val="00441B54"/>
    <w:rsid w:val="00463B85"/>
    <w:rsid w:val="00464682"/>
    <w:rsid w:val="00465082"/>
    <w:rsid w:val="00474DA1"/>
    <w:rsid w:val="004937C6"/>
    <w:rsid w:val="004A3B31"/>
    <w:rsid w:val="004B1B75"/>
    <w:rsid w:val="004C311C"/>
    <w:rsid w:val="004C65BB"/>
    <w:rsid w:val="004C669E"/>
    <w:rsid w:val="004F3AC2"/>
    <w:rsid w:val="00500DEB"/>
    <w:rsid w:val="005023BF"/>
    <w:rsid w:val="00512438"/>
    <w:rsid w:val="0052418E"/>
    <w:rsid w:val="0052779F"/>
    <w:rsid w:val="00534AD2"/>
    <w:rsid w:val="00547428"/>
    <w:rsid w:val="005775E0"/>
    <w:rsid w:val="0058077A"/>
    <w:rsid w:val="005B0120"/>
    <w:rsid w:val="005C0ABC"/>
    <w:rsid w:val="005D581C"/>
    <w:rsid w:val="005F1FE6"/>
    <w:rsid w:val="006010E6"/>
    <w:rsid w:val="00601CBF"/>
    <w:rsid w:val="00601DEA"/>
    <w:rsid w:val="00606673"/>
    <w:rsid w:val="00606BC7"/>
    <w:rsid w:val="0061001C"/>
    <w:rsid w:val="006120E0"/>
    <w:rsid w:val="00622031"/>
    <w:rsid w:val="006418EE"/>
    <w:rsid w:val="00641EBD"/>
    <w:rsid w:val="0065568B"/>
    <w:rsid w:val="00666244"/>
    <w:rsid w:val="0066739D"/>
    <w:rsid w:val="00670B22"/>
    <w:rsid w:val="0067120B"/>
    <w:rsid w:val="00671C11"/>
    <w:rsid w:val="0067646F"/>
    <w:rsid w:val="0069068D"/>
    <w:rsid w:val="00691482"/>
    <w:rsid w:val="00691A7A"/>
    <w:rsid w:val="006D3853"/>
    <w:rsid w:val="006D7A20"/>
    <w:rsid w:val="006E639D"/>
    <w:rsid w:val="006F246C"/>
    <w:rsid w:val="006F78F1"/>
    <w:rsid w:val="00700733"/>
    <w:rsid w:val="00724C52"/>
    <w:rsid w:val="0074541B"/>
    <w:rsid w:val="00764E86"/>
    <w:rsid w:val="0078336F"/>
    <w:rsid w:val="007925F2"/>
    <w:rsid w:val="007A72D8"/>
    <w:rsid w:val="007A7BDF"/>
    <w:rsid w:val="007B258C"/>
    <w:rsid w:val="007C0B69"/>
    <w:rsid w:val="007D36EB"/>
    <w:rsid w:val="007D4CB4"/>
    <w:rsid w:val="007D6956"/>
    <w:rsid w:val="007E263C"/>
    <w:rsid w:val="007E53CE"/>
    <w:rsid w:val="00803A66"/>
    <w:rsid w:val="0081010B"/>
    <w:rsid w:val="00811D37"/>
    <w:rsid w:val="008228D1"/>
    <w:rsid w:val="00822CC2"/>
    <w:rsid w:val="00824FAC"/>
    <w:rsid w:val="0085488B"/>
    <w:rsid w:val="0085796D"/>
    <w:rsid w:val="008659C0"/>
    <w:rsid w:val="008B22EE"/>
    <w:rsid w:val="008C5D38"/>
    <w:rsid w:val="008C6115"/>
    <w:rsid w:val="008F6C49"/>
    <w:rsid w:val="00904D19"/>
    <w:rsid w:val="00912DB6"/>
    <w:rsid w:val="009276F6"/>
    <w:rsid w:val="0095033E"/>
    <w:rsid w:val="00955986"/>
    <w:rsid w:val="009726C9"/>
    <w:rsid w:val="00981FAE"/>
    <w:rsid w:val="0098585E"/>
    <w:rsid w:val="009911CA"/>
    <w:rsid w:val="009A00A7"/>
    <w:rsid w:val="009A0ECB"/>
    <w:rsid w:val="009A6176"/>
    <w:rsid w:val="009B2AA1"/>
    <w:rsid w:val="009B5851"/>
    <w:rsid w:val="009C1B19"/>
    <w:rsid w:val="009C6B56"/>
    <w:rsid w:val="009D1B3C"/>
    <w:rsid w:val="009D35AE"/>
    <w:rsid w:val="009E5895"/>
    <w:rsid w:val="00A136F7"/>
    <w:rsid w:val="00A27CA7"/>
    <w:rsid w:val="00A357F9"/>
    <w:rsid w:val="00A422E9"/>
    <w:rsid w:val="00A470BE"/>
    <w:rsid w:val="00A626FA"/>
    <w:rsid w:val="00A701DB"/>
    <w:rsid w:val="00A74B5F"/>
    <w:rsid w:val="00A8179D"/>
    <w:rsid w:val="00A95FD1"/>
    <w:rsid w:val="00A97564"/>
    <w:rsid w:val="00AB66D0"/>
    <w:rsid w:val="00AC0CDB"/>
    <w:rsid w:val="00AC44D4"/>
    <w:rsid w:val="00AD4667"/>
    <w:rsid w:val="00AD4B3C"/>
    <w:rsid w:val="00AD6B6A"/>
    <w:rsid w:val="00AE2674"/>
    <w:rsid w:val="00AF789E"/>
    <w:rsid w:val="00B10555"/>
    <w:rsid w:val="00B12C31"/>
    <w:rsid w:val="00B26776"/>
    <w:rsid w:val="00B32519"/>
    <w:rsid w:val="00B358CA"/>
    <w:rsid w:val="00B45A2A"/>
    <w:rsid w:val="00B562C9"/>
    <w:rsid w:val="00B57144"/>
    <w:rsid w:val="00B63CA3"/>
    <w:rsid w:val="00B67DA0"/>
    <w:rsid w:val="00B715C4"/>
    <w:rsid w:val="00B83245"/>
    <w:rsid w:val="00B9538C"/>
    <w:rsid w:val="00BA26AC"/>
    <w:rsid w:val="00BD3CBB"/>
    <w:rsid w:val="00BE1AAB"/>
    <w:rsid w:val="00BE3E15"/>
    <w:rsid w:val="00BE55DD"/>
    <w:rsid w:val="00BF5691"/>
    <w:rsid w:val="00C02D28"/>
    <w:rsid w:val="00C07CAE"/>
    <w:rsid w:val="00C1405F"/>
    <w:rsid w:val="00C17079"/>
    <w:rsid w:val="00C44C43"/>
    <w:rsid w:val="00C508CB"/>
    <w:rsid w:val="00C51AA6"/>
    <w:rsid w:val="00C62022"/>
    <w:rsid w:val="00C62324"/>
    <w:rsid w:val="00C70E43"/>
    <w:rsid w:val="00C72442"/>
    <w:rsid w:val="00C85F8D"/>
    <w:rsid w:val="00C90584"/>
    <w:rsid w:val="00CC7F70"/>
    <w:rsid w:val="00CD52DB"/>
    <w:rsid w:val="00CE66B6"/>
    <w:rsid w:val="00CE6EAD"/>
    <w:rsid w:val="00CF0C0E"/>
    <w:rsid w:val="00CF65DD"/>
    <w:rsid w:val="00D1452E"/>
    <w:rsid w:val="00D27B2C"/>
    <w:rsid w:val="00D609E5"/>
    <w:rsid w:val="00D63D1F"/>
    <w:rsid w:val="00D6657F"/>
    <w:rsid w:val="00D745F0"/>
    <w:rsid w:val="00D83453"/>
    <w:rsid w:val="00D9576A"/>
    <w:rsid w:val="00DA2BB2"/>
    <w:rsid w:val="00DA7C16"/>
    <w:rsid w:val="00DC1426"/>
    <w:rsid w:val="00DC454E"/>
    <w:rsid w:val="00DC4930"/>
    <w:rsid w:val="00DD1D06"/>
    <w:rsid w:val="00DE47EF"/>
    <w:rsid w:val="00DF6419"/>
    <w:rsid w:val="00E031B2"/>
    <w:rsid w:val="00E07C22"/>
    <w:rsid w:val="00E15868"/>
    <w:rsid w:val="00E24511"/>
    <w:rsid w:val="00E372BE"/>
    <w:rsid w:val="00E46AC5"/>
    <w:rsid w:val="00E50644"/>
    <w:rsid w:val="00E5392A"/>
    <w:rsid w:val="00E5609C"/>
    <w:rsid w:val="00E620FB"/>
    <w:rsid w:val="00E71DD5"/>
    <w:rsid w:val="00E73DDA"/>
    <w:rsid w:val="00E84151"/>
    <w:rsid w:val="00E86BD5"/>
    <w:rsid w:val="00E9181F"/>
    <w:rsid w:val="00E960B3"/>
    <w:rsid w:val="00E97342"/>
    <w:rsid w:val="00EC0840"/>
    <w:rsid w:val="00EC59EF"/>
    <w:rsid w:val="00ED0EB4"/>
    <w:rsid w:val="00EE53E8"/>
    <w:rsid w:val="00EF4DF8"/>
    <w:rsid w:val="00F13607"/>
    <w:rsid w:val="00F3573B"/>
    <w:rsid w:val="00F5444E"/>
    <w:rsid w:val="00F651AB"/>
    <w:rsid w:val="00F6686B"/>
    <w:rsid w:val="00F75CF4"/>
    <w:rsid w:val="00F910D8"/>
    <w:rsid w:val="00FD3B22"/>
    <w:rsid w:val="00FE0B08"/>
    <w:rsid w:val="00FE2699"/>
    <w:rsid w:val="00FE7D7D"/>
    <w:rsid w:val="00FF00AE"/>
    <w:rsid w:val="00FF1B0B"/>
    <w:rsid w:val="02126D44"/>
    <w:rsid w:val="028927FB"/>
    <w:rsid w:val="081C6E61"/>
    <w:rsid w:val="11881549"/>
    <w:rsid w:val="12584944"/>
    <w:rsid w:val="13234061"/>
    <w:rsid w:val="140328A2"/>
    <w:rsid w:val="19C03C03"/>
    <w:rsid w:val="1C566E14"/>
    <w:rsid w:val="1C903A05"/>
    <w:rsid w:val="1D12416B"/>
    <w:rsid w:val="1D881AB2"/>
    <w:rsid w:val="1FCC3728"/>
    <w:rsid w:val="20062131"/>
    <w:rsid w:val="227C2E9B"/>
    <w:rsid w:val="235377B9"/>
    <w:rsid w:val="24FB43D7"/>
    <w:rsid w:val="26E71559"/>
    <w:rsid w:val="27DC46B2"/>
    <w:rsid w:val="28D74C12"/>
    <w:rsid w:val="29BB0115"/>
    <w:rsid w:val="2D94549E"/>
    <w:rsid w:val="2FC91687"/>
    <w:rsid w:val="322D1156"/>
    <w:rsid w:val="34DF4202"/>
    <w:rsid w:val="34E44505"/>
    <w:rsid w:val="379F2126"/>
    <w:rsid w:val="3DAE6AB5"/>
    <w:rsid w:val="3DBA25FF"/>
    <w:rsid w:val="3E201352"/>
    <w:rsid w:val="403D27C5"/>
    <w:rsid w:val="42F12946"/>
    <w:rsid w:val="449E07E7"/>
    <w:rsid w:val="459F3975"/>
    <w:rsid w:val="466061B4"/>
    <w:rsid w:val="476D1208"/>
    <w:rsid w:val="4C0005C0"/>
    <w:rsid w:val="4C4D1669"/>
    <w:rsid w:val="4D9F0793"/>
    <w:rsid w:val="4F3653CE"/>
    <w:rsid w:val="4F9E656E"/>
    <w:rsid w:val="502B2610"/>
    <w:rsid w:val="53093D98"/>
    <w:rsid w:val="53732CD5"/>
    <w:rsid w:val="55C37A5B"/>
    <w:rsid w:val="57B15B6E"/>
    <w:rsid w:val="58265721"/>
    <w:rsid w:val="59721754"/>
    <w:rsid w:val="5A382326"/>
    <w:rsid w:val="5A5F4B63"/>
    <w:rsid w:val="5CE404E3"/>
    <w:rsid w:val="5E185236"/>
    <w:rsid w:val="5FF06E67"/>
    <w:rsid w:val="60F00F1F"/>
    <w:rsid w:val="618A26F5"/>
    <w:rsid w:val="663F4519"/>
    <w:rsid w:val="6AE92C3B"/>
    <w:rsid w:val="6DED4605"/>
    <w:rsid w:val="6F80203C"/>
    <w:rsid w:val="6FEB6396"/>
    <w:rsid w:val="76DE0860"/>
    <w:rsid w:val="7A6E5F1C"/>
    <w:rsid w:val="7C216BC1"/>
    <w:rsid w:val="7CFE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CC0000"/>
    </w:rPr>
  </w:style>
  <w:style w:type="character" w:styleId="12">
    <w:name w:val="annotation reference"/>
    <w:basedOn w:val="10"/>
    <w:semiHidden/>
    <w:unhideWhenUsed/>
    <w:qFormat/>
    <w:uiPriority w:val="99"/>
    <w:rPr>
      <w:sz w:val="21"/>
      <w:szCs w:val="21"/>
    </w:rPr>
  </w:style>
  <w:style w:type="character" w:styleId="13">
    <w:name w:val="HTML Cite"/>
    <w:basedOn w:val="10"/>
    <w:semiHidden/>
    <w:unhideWhenUsed/>
    <w:qFormat/>
    <w:uiPriority w:val="99"/>
    <w:rPr>
      <w:color w:val="008000"/>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style>
  <w:style w:type="character" w:customStyle="1" w:styleId="19">
    <w:name w:val="批注主题 Char"/>
    <w:basedOn w:val="18"/>
    <w:link w:val="7"/>
    <w:semiHidden/>
    <w:qFormat/>
    <w:uiPriority w:val="99"/>
    <w:rPr>
      <w:b/>
      <w:bCs/>
    </w:rPr>
  </w:style>
  <w:style w:type="character" w:customStyle="1" w:styleId="20">
    <w:name w:val="c-icon13"/>
    <w:basedOn w:val="10"/>
    <w:qFormat/>
    <w:uiPriority w:val="0"/>
  </w:style>
  <w:style w:type="character" w:customStyle="1" w:styleId="21">
    <w:name w:val="hover13"/>
    <w:basedOn w:val="10"/>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3BC79-6582-4B44-BC5E-D6200F1C8D72}">
  <ds:schemaRefs/>
</ds:datastoreItem>
</file>

<file path=docProps/app.xml><?xml version="1.0" encoding="utf-8"?>
<Properties xmlns="http://schemas.openxmlformats.org/officeDocument/2006/extended-properties" xmlns:vt="http://schemas.openxmlformats.org/officeDocument/2006/docPropsVTypes">
  <Template>Normal</Template>
  <Pages>9</Pages>
  <Words>793</Words>
  <Characters>4526</Characters>
  <Lines>37</Lines>
  <Paragraphs>10</Paragraphs>
  <TotalTime>3</TotalTime>
  <ScaleCrop>false</ScaleCrop>
  <LinksUpToDate>false</LinksUpToDate>
  <CharactersWithSpaces>5309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2018-05-23T13:32:00Z</dcterms:created>
  <dc:creator>zhangmeng</dc:creator>
  <cp:lastModifiedBy>翟正</cp:lastModifiedBy>
  <dcterms:modified xsi:type="dcterms:W3CDTF">2020-04-29T02:48:11Z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